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B1" w:rsidRPr="005C456C" w:rsidRDefault="00E66DB1" w:rsidP="00E66DB1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4"/>
          <w:szCs w:val="24"/>
        </w:rPr>
      </w:pPr>
      <w:r w:rsidRPr="005C456C">
        <w:rPr>
          <w:rFonts w:ascii="Tahoma" w:hAnsi="Tahoma" w:cs="Tahoma"/>
          <w:b/>
          <w:sz w:val="24"/>
          <w:szCs w:val="24"/>
        </w:rPr>
        <w:t>Balatonalmádi Város Önkormányzat</w:t>
      </w:r>
      <w:r>
        <w:rPr>
          <w:rFonts w:ascii="Tahoma" w:hAnsi="Tahoma" w:cs="Tahoma"/>
          <w:b/>
          <w:sz w:val="24"/>
          <w:szCs w:val="24"/>
        </w:rPr>
        <w:t>a</w:t>
      </w:r>
      <w:r w:rsidRPr="005C456C">
        <w:rPr>
          <w:rFonts w:ascii="Tahoma" w:hAnsi="Tahoma" w:cs="Tahoma"/>
          <w:b/>
          <w:sz w:val="24"/>
          <w:szCs w:val="24"/>
        </w:rPr>
        <w:t xml:space="preserve"> Képviselő-testületének</w:t>
      </w:r>
    </w:p>
    <w:p w:rsidR="00E66DB1" w:rsidRDefault="00E66DB1" w:rsidP="00E66DB1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19</w:t>
      </w:r>
      <w:r w:rsidRPr="005C456C">
        <w:rPr>
          <w:rFonts w:ascii="Tahoma" w:hAnsi="Tahoma" w:cs="Tahoma"/>
          <w:b/>
          <w:sz w:val="24"/>
          <w:szCs w:val="24"/>
        </w:rPr>
        <w:t>/202</w:t>
      </w:r>
      <w:r>
        <w:rPr>
          <w:rFonts w:ascii="Tahoma" w:hAnsi="Tahoma" w:cs="Tahoma"/>
          <w:b/>
          <w:sz w:val="24"/>
          <w:szCs w:val="24"/>
        </w:rPr>
        <w:t>1</w:t>
      </w:r>
      <w:r>
        <w:rPr>
          <w:rFonts w:ascii="Tahoma" w:hAnsi="Tahoma" w:cs="Tahoma"/>
          <w:b/>
          <w:sz w:val="24"/>
          <w:szCs w:val="24"/>
        </w:rPr>
        <w:t>.(VI.25.</w:t>
      </w:r>
      <w:r w:rsidRPr="005C456C">
        <w:rPr>
          <w:rFonts w:ascii="Tahoma" w:hAnsi="Tahoma" w:cs="Tahoma"/>
          <w:b/>
          <w:sz w:val="24"/>
          <w:szCs w:val="24"/>
        </w:rPr>
        <w:t>) önkormányzati rendelete</w:t>
      </w:r>
    </w:p>
    <w:p w:rsidR="00E66DB1" w:rsidRPr="005C456C" w:rsidRDefault="00E66DB1" w:rsidP="00E66DB1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4"/>
          <w:szCs w:val="24"/>
        </w:rPr>
      </w:pPr>
    </w:p>
    <w:p w:rsidR="00E66DB1" w:rsidRPr="00EC38A1" w:rsidRDefault="00E66DB1" w:rsidP="00E66DB1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4"/>
          <w:szCs w:val="24"/>
        </w:rPr>
      </w:pPr>
      <w:proofErr w:type="gramStart"/>
      <w:r w:rsidRPr="00EC38A1">
        <w:rPr>
          <w:rFonts w:ascii="Tahoma" w:hAnsi="Tahoma" w:cs="Tahoma"/>
          <w:b/>
          <w:color w:val="000000"/>
          <w:sz w:val="24"/>
          <w:szCs w:val="24"/>
        </w:rPr>
        <w:t>a</w:t>
      </w:r>
      <w:proofErr w:type="gramEnd"/>
      <w:r w:rsidRPr="00EC38A1">
        <w:rPr>
          <w:rFonts w:ascii="Tahoma" w:hAnsi="Tahoma" w:cs="Tahoma"/>
          <w:b/>
          <w:color w:val="000000"/>
          <w:sz w:val="24"/>
          <w:szCs w:val="24"/>
        </w:rPr>
        <w:t xml:space="preserve"> közterületek, közutak és azok tartozékai nem közlekedési célra történő igénybevétele esetén alkalmazandó közútkezelői hozzájárulás kiadásáról szóló 5/2017</w:t>
      </w:r>
      <w:r>
        <w:rPr>
          <w:rFonts w:ascii="Tahoma" w:hAnsi="Tahoma" w:cs="Tahoma"/>
          <w:b/>
          <w:color w:val="000000"/>
          <w:sz w:val="24"/>
          <w:szCs w:val="24"/>
        </w:rPr>
        <w:t>.</w:t>
      </w:r>
      <w:r w:rsidRPr="00EC38A1">
        <w:rPr>
          <w:rFonts w:ascii="Tahoma" w:hAnsi="Tahoma" w:cs="Tahoma"/>
          <w:b/>
          <w:color w:val="000000"/>
          <w:sz w:val="24"/>
          <w:szCs w:val="24"/>
        </w:rPr>
        <w:t xml:space="preserve"> (I.26.) önkormányzati rendelet </w:t>
      </w:r>
      <w:r>
        <w:rPr>
          <w:rFonts w:ascii="Tahoma" w:hAnsi="Tahoma" w:cs="Tahoma"/>
          <w:b/>
          <w:sz w:val="24"/>
          <w:szCs w:val="24"/>
        </w:rPr>
        <w:t>módosításáról</w:t>
      </w:r>
    </w:p>
    <w:p w:rsidR="00E66DB1" w:rsidRPr="005C456C" w:rsidRDefault="00E66DB1" w:rsidP="00E66DB1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4"/>
          <w:szCs w:val="24"/>
        </w:rPr>
      </w:pPr>
    </w:p>
    <w:p w:rsidR="00E66DB1" w:rsidRPr="005C456C" w:rsidRDefault="00E66DB1" w:rsidP="00E66DB1">
      <w:pPr>
        <w:pStyle w:val="NormlWeb"/>
        <w:spacing w:before="0" w:beforeAutospacing="0" w:after="0" w:afterAutospacing="0"/>
        <w:jc w:val="both"/>
        <w:rPr>
          <w:rFonts w:ascii="Tahoma" w:hAnsi="Tahoma" w:cs="Tahoma"/>
        </w:rPr>
      </w:pPr>
      <w:r w:rsidRPr="00C00E31">
        <w:rPr>
          <w:rFonts w:ascii="Tahoma" w:hAnsi="Tahoma" w:cs="Tahoma"/>
        </w:rPr>
        <w:t>Balatonalmádi Város Önkormányzat</w:t>
      </w:r>
      <w:r>
        <w:rPr>
          <w:rFonts w:ascii="Tahoma" w:hAnsi="Tahoma" w:cs="Tahoma"/>
        </w:rPr>
        <w:t>ának</w:t>
      </w:r>
      <w:r w:rsidRPr="00C00E31">
        <w:rPr>
          <w:rFonts w:ascii="Tahoma" w:hAnsi="Tahoma" w:cs="Tahoma"/>
        </w:rPr>
        <w:t xml:space="preserve"> Képviselő-testület</w:t>
      </w:r>
      <w:r>
        <w:rPr>
          <w:rFonts w:ascii="Tahoma" w:hAnsi="Tahoma" w:cs="Tahoma"/>
        </w:rPr>
        <w:t xml:space="preserve">e </w:t>
      </w:r>
      <w:r w:rsidRPr="005C456C">
        <w:rPr>
          <w:rFonts w:ascii="Tahoma" w:hAnsi="Tahoma" w:cs="Tahoma"/>
        </w:rPr>
        <w:t>az épített környezet alakításáról és védelméről szóló 1997. évi LXXVIII. törvény 54.§ (5) bekezdésében, és az Alaptörvény 32. cikk (1) bekezdés a) pontjában kapott felhatalmazás alapján</w:t>
      </w:r>
      <w:r>
        <w:rPr>
          <w:rFonts w:ascii="Tahoma" w:hAnsi="Tahoma" w:cs="Tahoma"/>
        </w:rPr>
        <w:t>,</w:t>
      </w:r>
      <w:r w:rsidRPr="005C456C">
        <w:rPr>
          <w:rFonts w:ascii="Tahoma" w:hAnsi="Tahoma" w:cs="Tahoma"/>
        </w:rPr>
        <w:t xml:space="preserve"> az Alaptörvény 32. cikk (2) bekezdésében meghatározott feladatkörében eljárva a következőket rendeli el:</w:t>
      </w:r>
    </w:p>
    <w:p w:rsidR="00E66DB1" w:rsidRPr="005C456C" w:rsidRDefault="00E66DB1" w:rsidP="00E66D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E66DB1" w:rsidRDefault="00E66DB1" w:rsidP="00E66DB1">
      <w:pPr>
        <w:tabs>
          <w:tab w:val="left" w:pos="4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color w:val="000000"/>
          <w:sz w:val="24"/>
          <w:szCs w:val="24"/>
        </w:rPr>
      </w:pPr>
      <w:r w:rsidRPr="00055AB1">
        <w:rPr>
          <w:rFonts w:ascii="Tahoma" w:hAnsi="Tahoma" w:cs="Tahoma"/>
          <w:sz w:val="24"/>
          <w:szCs w:val="24"/>
        </w:rPr>
        <w:t>1.§ A</w:t>
      </w:r>
      <w:r w:rsidRPr="00055AB1">
        <w:rPr>
          <w:rFonts w:ascii="Tahoma" w:hAnsi="Tahoma" w:cs="Tahoma"/>
          <w:color w:val="000000"/>
          <w:sz w:val="24"/>
          <w:szCs w:val="24"/>
        </w:rPr>
        <w:t xml:space="preserve"> közterületek, közutak és azok tartozékai nem közlekedési célra történő igénybevétele esetén alkalmazandó közútkezelői hozzájárulás kiadásáról szóló 5/2017</w:t>
      </w:r>
      <w:r>
        <w:rPr>
          <w:rFonts w:ascii="Tahoma" w:hAnsi="Tahoma" w:cs="Tahoma"/>
          <w:color w:val="000000"/>
          <w:sz w:val="24"/>
          <w:szCs w:val="24"/>
        </w:rPr>
        <w:t>.</w:t>
      </w:r>
      <w:r w:rsidRPr="00055AB1">
        <w:rPr>
          <w:rFonts w:ascii="Tahoma" w:hAnsi="Tahoma" w:cs="Tahoma"/>
          <w:color w:val="000000"/>
          <w:sz w:val="24"/>
          <w:szCs w:val="24"/>
        </w:rPr>
        <w:t xml:space="preserve"> (I.26.) önkormányzati </w:t>
      </w:r>
      <w:r w:rsidRPr="00B90526">
        <w:rPr>
          <w:rFonts w:ascii="Tahoma" w:hAnsi="Tahoma" w:cs="Tahoma"/>
          <w:color w:val="000000"/>
          <w:sz w:val="24"/>
          <w:szCs w:val="24"/>
        </w:rPr>
        <w:t>rendelet 3. § (</w:t>
      </w:r>
      <w:r>
        <w:rPr>
          <w:rFonts w:ascii="Tahoma" w:hAnsi="Tahoma" w:cs="Tahoma"/>
          <w:color w:val="000000"/>
          <w:sz w:val="24"/>
          <w:szCs w:val="24"/>
        </w:rPr>
        <w:t>3</w:t>
      </w:r>
      <w:r w:rsidRPr="00B90526">
        <w:rPr>
          <w:rFonts w:ascii="Tahoma" w:hAnsi="Tahoma" w:cs="Tahoma"/>
          <w:color w:val="000000"/>
          <w:sz w:val="24"/>
          <w:szCs w:val="24"/>
        </w:rPr>
        <w:t xml:space="preserve">) bekezdése </w:t>
      </w:r>
      <w:r>
        <w:rPr>
          <w:rFonts w:ascii="Tahoma" w:hAnsi="Tahoma" w:cs="Tahoma"/>
          <w:color w:val="000000"/>
          <w:sz w:val="24"/>
          <w:szCs w:val="24"/>
        </w:rPr>
        <w:t>helyébe az alábbi rendelkezés lép:</w:t>
      </w:r>
    </w:p>
    <w:p w:rsidR="00E66DB1" w:rsidRDefault="00E66DB1" w:rsidP="00E66DB1">
      <w:pPr>
        <w:tabs>
          <w:tab w:val="left" w:pos="4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color w:val="000000"/>
          <w:sz w:val="24"/>
          <w:szCs w:val="24"/>
        </w:rPr>
      </w:pPr>
    </w:p>
    <w:p w:rsidR="00E66DB1" w:rsidRPr="00055AB1" w:rsidRDefault="00E66DB1" w:rsidP="00E66DB1">
      <w:pPr>
        <w:pStyle w:val="NormlWeb"/>
        <w:spacing w:before="0" w:beforeAutospacing="0" w:after="0" w:afterAutospacing="0"/>
        <w:ind w:left="142" w:hanging="142"/>
        <w:jc w:val="both"/>
        <w:rPr>
          <w:rFonts w:ascii="Tahoma" w:hAnsi="Tahoma" w:cs="Tahoma"/>
        </w:rPr>
      </w:pPr>
      <w:r w:rsidRPr="00055AB1">
        <w:rPr>
          <w:rFonts w:ascii="Tahoma" w:hAnsi="Tahoma" w:cs="Tahoma"/>
          <w:color w:val="000000"/>
        </w:rPr>
        <w:t>„</w:t>
      </w:r>
      <w:r>
        <w:rPr>
          <w:rFonts w:ascii="Tahoma" w:hAnsi="Tahoma" w:cs="Tahoma"/>
          <w:color w:val="000000"/>
        </w:rPr>
        <w:t>3. § (3) Mentes az igénybevételi díj megfizetése alól a közút kezelője által vagy megrendelésére végzett üzemel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tetéshez, fenntartáshoz és építéshez kapcsolódó nem közlekedési célú igénybevétel. </w:t>
      </w:r>
      <w:r>
        <w:rPr>
          <w:rFonts w:ascii="Tahoma" w:hAnsi="Tahoma" w:cs="Tahoma"/>
        </w:rPr>
        <w:t>Nem kell igénybevételi díjat fizetni a rendészeti szerveknek (rendőrség, katasztrófavédelem, honvédség) és a mentőszolgálatnak az alaptevékenységük céljára és idejére történő közterület-használatért. A vízügyi szolgáltató mentesül az igénybevételi díj megfizetési kötelezettsége alól abban az esetben, amennyiben az adott eljárásban (a kérelemhez csatoltan) nyilatkozza, hogy a település közigazgatási területére vonatkozó díjszabásában figyelembe veszi az így kapott kedvezményt.”</w:t>
      </w:r>
    </w:p>
    <w:p w:rsidR="00E66DB1" w:rsidRDefault="00E66DB1" w:rsidP="00E66D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E66DB1" w:rsidRDefault="00E66DB1" w:rsidP="00E66D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Pr="00B90526">
        <w:rPr>
          <w:rFonts w:ascii="Tahoma" w:hAnsi="Tahoma" w:cs="Tahoma"/>
          <w:sz w:val="24"/>
          <w:szCs w:val="24"/>
        </w:rPr>
        <w:t xml:space="preserve">.§ </w:t>
      </w:r>
      <w:r>
        <w:rPr>
          <w:rFonts w:ascii="Tahoma" w:hAnsi="Tahoma" w:cs="Tahoma"/>
          <w:sz w:val="24"/>
          <w:szCs w:val="24"/>
        </w:rPr>
        <w:t xml:space="preserve">(1) </w:t>
      </w:r>
      <w:r w:rsidRPr="00B90526">
        <w:rPr>
          <w:rFonts w:ascii="Tahoma" w:hAnsi="Tahoma" w:cs="Tahoma"/>
          <w:sz w:val="24"/>
          <w:szCs w:val="24"/>
        </w:rPr>
        <w:t xml:space="preserve">E rendelet 2021. </w:t>
      </w:r>
      <w:r>
        <w:rPr>
          <w:rFonts w:ascii="Tahoma" w:hAnsi="Tahoma" w:cs="Tahoma"/>
          <w:sz w:val="24"/>
          <w:szCs w:val="24"/>
        </w:rPr>
        <w:t>július</w:t>
      </w:r>
      <w:r w:rsidRPr="00B90526">
        <w:rPr>
          <w:rFonts w:ascii="Tahoma" w:hAnsi="Tahoma" w:cs="Tahoma"/>
          <w:sz w:val="24"/>
          <w:szCs w:val="24"/>
        </w:rPr>
        <w:t xml:space="preserve"> 1. napján lép hatályba.</w:t>
      </w:r>
    </w:p>
    <w:p w:rsidR="00E66DB1" w:rsidRDefault="00E66DB1" w:rsidP="00E66DB1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(2) Hatályát veszti a közterület rendeltetésétől eltérő célú használatának, a közterületek rendjének általános szabályairól szóló 42/2010. (XII.20.) önkormányzati rendelet.</w:t>
      </w:r>
    </w:p>
    <w:p w:rsidR="00E66DB1" w:rsidRDefault="00E66DB1" w:rsidP="00E66DB1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E66DB1" w:rsidRDefault="00E66DB1" w:rsidP="00E66DB1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E66DB1" w:rsidRPr="00E66DB1" w:rsidRDefault="00E66DB1" w:rsidP="00E66DB1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spacing w:before="480"/>
        <w:jc w:val="both"/>
        <w:textAlignment w:val="baseline"/>
        <w:rPr>
          <w:rFonts w:ascii="Tahoma" w:eastAsia="Batang" w:hAnsi="Tahoma" w:cs="Tahoma"/>
          <w:color w:val="000000"/>
          <w:sz w:val="24"/>
          <w:lang w:eastAsia="hu-HU"/>
        </w:rPr>
      </w:pPr>
      <w:r w:rsidRPr="00E66DB1">
        <w:rPr>
          <w:rFonts w:ascii="Tahoma" w:eastAsia="Batang" w:hAnsi="Tahoma" w:cs="Tahoma"/>
          <w:color w:val="000000"/>
          <w:sz w:val="24"/>
          <w:lang w:eastAsia="hu-HU"/>
        </w:rPr>
        <w:t xml:space="preserve">              </w:t>
      </w:r>
      <w:r w:rsidRPr="00E66DB1">
        <w:rPr>
          <w:rFonts w:ascii="Tahoma" w:eastAsia="Batang" w:hAnsi="Tahoma" w:cs="Tahoma"/>
          <w:color w:val="000000"/>
          <w:sz w:val="24"/>
          <w:lang w:eastAsia="hu-HU"/>
        </w:rPr>
        <w:t xml:space="preserve">  Dr. </w:t>
      </w:r>
      <w:proofErr w:type="spellStart"/>
      <w:r w:rsidRPr="00E66DB1">
        <w:rPr>
          <w:rFonts w:ascii="Tahoma" w:eastAsia="Batang" w:hAnsi="Tahoma" w:cs="Tahoma"/>
          <w:color w:val="000000"/>
          <w:sz w:val="24"/>
          <w:lang w:eastAsia="hu-HU"/>
        </w:rPr>
        <w:t>Kepli</w:t>
      </w:r>
      <w:proofErr w:type="spellEnd"/>
      <w:r w:rsidRPr="00E66DB1">
        <w:rPr>
          <w:rFonts w:ascii="Tahoma" w:eastAsia="Batang" w:hAnsi="Tahoma" w:cs="Tahoma"/>
          <w:color w:val="000000"/>
          <w:sz w:val="24"/>
          <w:lang w:eastAsia="hu-HU"/>
        </w:rPr>
        <w:t xml:space="preserve"> </w:t>
      </w:r>
      <w:proofErr w:type="gramStart"/>
      <w:r w:rsidRPr="00E66DB1">
        <w:rPr>
          <w:rFonts w:ascii="Tahoma" w:eastAsia="Batang" w:hAnsi="Tahoma" w:cs="Tahoma"/>
          <w:color w:val="000000"/>
          <w:sz w:val="24"/>
          <w:lang w:eastAsia="hu-HU"/>
        </w:rPr>
        <w:t xml:space="preserve">Lajos                                        </w:t>
      </w:r>
      <w:r w:rsidRPr="00E66DB1">
        <w:rPr>
          <w:rFonts w:ascii="Tahoma" w:eastAsia="Batang" w:hAnsi="Tahoma" w:cs="Tahoma"/>
          <w:color w:val="000000"/>
          <w:sz w:val="24"/>
          <w:lang w:eastAsia="hu-HU"/>
        </w:rPr>
        <w:tab/>
      </w:r>
      <w:r w:rsidRPr="00E66DB1">
        <w:rPr>
          <w:rFonts w:ascii="Tahoma" w:eastAsia="Batang" w:hAnsi="Tahoma" w:cs="Tahoma"/>
          <w:color w:val="000000"/>
          <w:sz w:val="24"/>
          <w:lang w:eastAsia="hu-HU"/>
        </w:rPr>
        <w:t>Dr.</w:t>
      </w:r>
      <w:proofErr w:type="gramEnd"/>
      <w:r w:rsidRPr="00E66DB1">
        <w:rPr>
          <w:rFonts w:ascii="Tahoma" w:eastAsia="Batang" w:hAnsi="Tahoma" w:cs="Tahoma"/>
          <w:color w:val="000000"/>
          <w:sz w:val="24"/>
          <w:lang w:eastAsia="hu-HU"/>
        </w:rPr>
        <w:t xml:space="preserve"> Kovács János</w:t>
      </w:r>
    </w:p>
    <w:p w:rsidR="00E66DB1" w:rsidRDefault="00E66DB1" w:rsidP="00E66DB1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lang w:eastAsia="hu-HU"/>
        </w:rPr>
      </w:pPr>
      <w:r w:rsidRPr="00E66DB1">
        <w:rPr>
          <w:rFonts w:ascii="Tahoma" w:eastAsia="Batang" w:hAnsi="Tahoma" w:cs="Tahoma"/>
          <w:color w:val="000000"/>
          <w:sz w:val="24"/>
          <w:lang w:eastAsia="hu-HU"/>
        </w:rPr>
        <w:t xml:space="preserve">                 </w:t>
      </w:r>
      <w:proofErr w:type="gramStart"/>
      <w:r w:rsidRPr="00E66DB1">
        <w:rPr>
          <w:rFonts w:ascii="Tahoma" w:eastAsia="Batang" w:hAnsi="Tahoma" w:cs="Tahoma"/>
          <w:color w:val="000000"/>
          <w:sz w:val="24"/>
          <w:lang w:eastAsia="hu-HU"/>
        </w:rPr>
        <w:t>polgármester</w:t>
      </w:r>
      <w:proofErr w:type="gramEnd"/>
      <w:r w:rsidRPr="00E66DB1">
        <w:rPr>
          <w:rFonts w:ascii="Tahoma" w:eastAsia="Batang" w:hAnsi="Tahoma" w:cs="Tahoma"/>
          <w:color w:val="000000"/>
          <w:sz w:val="24"/>
          <w:lang w:eastAsia="hu-HU"/>
        </w:rPr>
        <w:t xml:space="preserve">                                                 </w:t>
      </w:r>
      <w:r w:rsidRPr="00E66DB1">
        <w:rPr>
          <w:rFonts w:ascii="Tahoma" w:eastAsia="Batang" w:hAnsi="Tahoma" w:cs="Tahoma"/>
          <w:color w:val="000000"/>
          <w:sz w:val="24"/>
          <w:lang w:eastAsia="hu-HU"/>
        </w:rPr>
        <w:t xml:space="preserve">           </w:t>
      </w:r>
      <w:r w:rsidRPr="00E66DB1">
        <w:rPr>
          <w:rFonts w:ascii="Tahoma" w:eastAsia="Batang" w:hAnsi="Tahoma" w:cs="Tahoma"/>
          <w:color w:val="000000"/>
          <w:sz w:val="24"/>
          <w:lang w:eastAsia="hu-HU"/>
        </w:rPr>
        <w:t xml:space="preserve"> jegyző</w:t>
      </w:r>
    </w:p>
    <w:p w:rsidR="00E66DB1" w:rsidRDefault="00E66DB1" w:rsidP="00E66DB1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lang w:eastAsia="hu-HU"/>
        </w:rPr>
      </w:pPr>
    </w:p>
    <w:p w:rsidR="00E66DB1" w:rsidRDefault="00E66DB1" w:rsidP="00E66DB1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lang w:eastAsia="hu-HU"/>
        </w:rPr>
      </w:pPr>
    </w:p>
    <w:p w:rsidR="00E66DB1" w:rsidRDefault="00E66DB1" w:rsidP="00E66DB1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lang w:eastAsia="hu-HU"/>
        </w:rPr>
      </w:pPr>
    </w:p>
    <w:p w:rsidR="00E66DB1" w:rsidRDefault="00E66DB1" w:rsidP="00E66DB1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lang w:eastAsia="hu-HU"/>
        </w:rPr>
      </w:pPr>
    </w:p>
    <w:p w:rsidR="00E66DB1" w:rsidRDefault="00E66DB1" w:rsidP="00E66DB1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lang w:eastAsia="hu-HU"/>
        </w:rPr>
      </w:pPr>
      <w:r>
        <w:rPr>
          <w:rFonts w:ascii="Tahoma" w:eastAsia="Batang" w:hAnsi="Tahoma" w:cs="Tahoma"/>
          <w:color w:val="000000"/>
          <w:sz w:val="24"/>
          <w:lang w:eastAsia="hu-HU"/>
        </w:rPr>
        <w:t xml:space="preserve">A rendeletet 2021. június 25. napján kihirdettem. </w:t>
      </w:r>
    </w:p>
    <w:p w:rsidR="00E66DB1" w:rsidRDefault="00E66DB1" w:rsidP="00E66DB1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lang w:eastAsia="hu-HU"/>
        </w:rPr>
      </w:pPr>
    </w:p>
    <w:p w:rsidR="00E66DB1" w:rsidRDefault="00E66DB1" w:rsidP="00E66DB1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lang w:eastAsia="hu-HU"/>
        </w:rPr>
      </w:pPr>
    </w:p>
    <w:p w:rsidR="00E66DB1" w:rsidRDefault="00E66DB1" w:rsidP="00E66DB1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lang w:eastAsia="hu-HU"/>
        </w:rPr>
      </w:pPr>
      <w:r>
        <w:rPr>
          <w:rFonts w:ascii="Tahoma" w:eastAsia="Batang" w:hAnsi="Tahoma" w:cs="Tahoma"/>
          <w:color w:val="000000"/>
          <w:sz w:val="24"/>
          <w:lang w:eastAsia="hu-HU"/>
        </w:rPr>
        <w:t xml:space="preserve">Dr. Kovács János </w:t>
      </w:r>
    </w:p>
    <w:p w:rsidR="00E66DB1" w:rsidRPr="00E66DB1" w:rsidRDefault="00E66DB1" w:rsidP="00E66DB1">
      <w:pPr>
        <w:tabs>
          <w:tab w:val="center" w:pos="141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Batang" w:hAnsi="Tahoma" w:cs="Tahoma"/>
          <w:color w:val="000000"/>
          <w:sz w:val="24"/>
          <w:lang w:eastAsia="hu-HU"/>
        </w:rPr>
      </w:pPr>
      <w:proofErr w:type="gramStart"/>
      <w:r>
        <w:rPr>
          <w:rFonts w:ascii="Tahoma" w:eastAsia="Batang" w:hAnsi="Tahoma" w:cs="Tahoma"/>
          <w:color w:val="000000"/>
          <w:sz w:val="24"/>
          <w:lang w:eastAsia="hu-HU"/>
        </w:rPr>
        <w:t>jegyző</w:t>
      </w:r>
      <w:proofErr w:type="gramEnd"/>
    </w:p>
    <w:p w:rsidR="006F1F9A" w:rsidRDefault="006F1F9A"/>
    <w:sectPr w:rsidR="006F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B1"/>
    <w:rsid w:val="006F1F9A"/>
    <w:rsid w:val="00E6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022F"/>
  <w15:chartTrackingRefBased/>
  <w15:docId w15:val="{C5EC7F13-5863-4AB3-B429-AD259055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DB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66DB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Gunglné Winkler Erika</dc:creator>
  <cp:keywords/>
  <dc:description/>
  <cp:lastModifiedBy>Gunglné Winkler Erika</cp:lastModifiedBy>
  <cp:revision>1</cp:revision>
  <dcterms:created xsi:type="dcterms:W3CDTF">2021-06-24T11:46:00Z</dcterms:created>
  <dcterms:modified xsi:type="dcterms:W3CDTF">2021-06-24T11:50:00Z</dcterms:modified>
</cp:coreProperties>
</file>